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0" w:rsidRPr="00CD13EE" w:rsidRDefault="004D2800" w:rsidP="004D2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  <w:proofErr w:type="gramStart"/>
      <w:r w:rsidRPr="00AF69A1">
        <w:rPr>
          <w:rFonts w:ascii="Times New Roman" w:hAnsi="Times New Roman" w:cs="Times New Roman"/>
          <w:b/>
          <w:iCs/>
          <w:sz w:val="28"/>
          <w:szCs w:val="28"/>
          <w:lang w:val="en-US"/>
        </w:rPr>
        <w:t>2-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mavzu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.</w:t>
      </w:r>
      <w:proofErr w:type="gramEnd"/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O‘ZBEKISTONDA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DAVLATNING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TASHKILOTLAR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MUNOSABATI</w:t>
      </w:r>
    </w:p>
    <w:p w:rsidR="004D2800" w:rsidRPr="00CD13EE" w:rsidRDefault="004D2800" w:rsidP="004D2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</w:p>
    <w:p w:rsidR="004D2800" w:rsidRPr="00CD13EE" w:rsidRDefault="00AF69A1" w:rsidP="004D2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Reja</w:t>
      </w:r>
      <w:r w:rsidR="004D2800"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:</w:t>
      </w:r>
    </w:p>
    <w:p w:rsidR="004D2800" w:rsidRPr="00CD13EE" w:rsidRDefault="00AF69A1" w:rsidP="004D280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E’tiqod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tushunchasi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. </w:t>
      </w:r>
    </w:p>
    <w:p w:rsidR="004D2800" w:rsidRPr="00CD13EE" w:rsidRDefault="00AF69A1" w:rsidP="004D280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O‘zbekistonda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davlat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va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diniy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tashkilotlar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o‘rtasidagi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munosabatlar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.</w:t>
      </w:r>
    </w:p>
    <w:p w:rsidR="004D2800" w:rsidRPr="00CD13EE" w:rsidRDefault="00AF69A1" w:rsidP="004D280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O‘zbekistonning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dunyoviy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rivojlanish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yo‘li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Din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sohasidagi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davlat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siyosati</w:t>
      </w:r>
      <w:r w:rsidR="004D280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. </w:t>
      </w:r>
    </w:p>
    <w:p w:rsidR="004D2800" w:rsidRPr="00CD13EE" w:rsidRDefault="004D2800" w:rsidP="00CD13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</w:p>
    <w:p w:rsidR="004D2800" w:rsidRPr="00CD13EE" w:rsidRDefault="00AF69A1" w:rsidP="004D28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Tayanch</w:t>
      </w:r>
      <w:r w:rsidR="004D2800"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tushunchalar</w:t>
      </w:r>
      <w:r w:rsidR="004D2800"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diniy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tashkilotlar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diniy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tashkilotlarning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markaziy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boshqaruv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organlari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konfessiya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masjid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vijdon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erkinligi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e’tiqod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erkinligi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dahriy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softHyphen/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softHyphen/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ateist</w:t>
      </w:r>
      <w:r w:rsidR="004D280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dinning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davlatdan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ajratilish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sekulyarizm</w:t>
      </w:r>
      <w:r w:rsidR="004D2800"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.</w:t>
      </w:r>
    </w:p>
    <w:p w:rsidR="004D2800" w:rsidRPr="00CD13EE" w:rsidRDefault="00AF69A1" w:rsidP="004D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Mavzu</w:t>
      </w:r>
      <w:r w:rsidR="004D2800" w:rsidRPr="00CD13E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o‘quv</w:t>
      </w:r>
      <w:r w:rsidR="004D2800" w:rsidRPr="00CD13E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maqsadi</w:t>
      </w:r>
      <w:r w:rsidR="004D2800" w:rsidRPr="00CD13E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Talabalarda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munosabatlarining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jahonda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tarqalgan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Respublikasida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munosabatlarining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o‘ziga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jihatlari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erkinligining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mohiyati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Respublikasida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faoliyatining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qonunchilik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asoslari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bilimlarini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4D280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4D2800" w:rsidRPr="00CD13EE" w:rsidRDefault="004D2800" w:rsidP="004D280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4D2800" w:rsidRPr="00E61A34" w:rsidRDefault="00AF69A1" w:rsidP="00E61A3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Asosiy</w:t>
      </w:r>
      <w:r w:rsidR="004D2800" w:rsidRPr="00CD13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adabiyotlar</w:t>
      </w:r>
      <w:r w:rsidR="004D2800" w:rsidRPr="00CD13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:</w:t>
      </w:r>
    </w:p>
    <w:p w:rsidR="00E61A34" w:rsidRPr="00CD13EE" w:rsidRDefault="00E61A34" w:rsidP="00E61A34">
      <w:pPr>
        <w:pStyle w:val="3"/>
        <w:numPr>
          <w:ilvl w:val="0"/>
          <w:numId w:val="11"/>
        </w:numPr>
        <w:spacing w:after="0" w:line="240" w:lineRule="auto"/>
        <w:ind w:right="-10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Очилдиев.А, Раҳимжонов Д, Мухамедов Н, Исоқова З ва бошқалар Диншунослик асослари Ўқув қўлланма-Тошкент: Тошкент  ислом университети, 2013. </w:t>
      </w:r>
    </w:p>
    <w:p w:rsidR="00E61A34" w:rsidRPr="00CD13EE" w:rsidRDefault="00E61A34" w:rsidP="00E61A34">
      <w:pPr>
        <w:pStyle w:val="3"/>
        <w:numPr>
          <w:ilvl w:val="0"/>
          <w:numId w:val="11"/>
        </w:numPr>
        <w:spacing w:after="0" w:line="240" w:lineRule="auto"/>
        <w:ind w:right="-107"/>
        <w:jc w:val="both"/>
        <w:rPr>
          <w:rStyle w:val="FontStyle21"/>
          <w:i w:val="0"/>
          <w:iCs w:val="0"/>
          <w:sz w:val="28"/>
          <w:szCs w:val="28"/>
          <w:lang w:val="uz-Cyrl-UZ"/>
        </w:rPr>
      </w:pPr>
      <w:r w:rsidRPr="00CD13EE">
        <w:rPr>
          <w:rStyle w:val="FontStyle21"/>
          <w:bCs/>
          <w:i w:val="0"/>
          <w:sz w:val="28"/>
          <w:szCs w:val="28"/>
          <w:lang w:val="uz-Cyrl-UZ"/>
        </w:rPr>
        <w:t>Агзамходжаев C, Рахимжонов Д, Муҳамедов Н ва бошқ.</w:t>
      </w:r>
      <w:r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Дунё динлари тарихи</w:t>
      </w:r>
      <w:r w:rsidRPr="00CD13E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Ўқув қўлланма- Тошкент: ТошДШИ, 2011.</w:t>
      </w:r>
    </w:p>
    <w:p w:rsidR="004D2800" w:rsidRPr="00CD13EE" w:rsidRDefault="004D2800" w:rsidP="00E61A34">
      <w:pPr>
        <w:pStyle w:val="3"/>
        <w:ind w:right="-107"/>
        <w:rPr>
          <w:rStyle w:val="FontStyle21"/>
          <w:i w:val="0"/>
          <w:iCs w:val="0"/>
          <w:sz w:val="28"/>
          <w:szCs w:val="28"/>
          <w:lang w:val="uz-Cyrl-UZ"/>
        </w:rPr>
      </w:pPr>
    </w:p>
    <w:p w:rsidR="004D2800" w:rsidRPr="00CD13EE" w:rsidRDefault="00AF69A1" w:rsidP="004D280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Qo‘shimcha</w:t>
      </w:r>
      <w:r w:rsidR="004D2800" w:rsidRPr="00CD13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adabiyotlar</w:t>
      </w:r>
      <w:r w:rsidR="004D2800" w:rsidRPr="00CD13E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:</w:t>
      </w:r>
    </w:p>
    <w:p w:rsidR="00E61A34" w:rsidRPr="00CD13EE" w:rsidRDefault="00E61A34" w:rsidP="00E61A34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position w:val="-2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position w:val="-2"/>
          <w:sz w:val="28"/>
          <w:szCs w:val="28"/>
          <w:lang w:val="uz-Cyrl-UZ"/>
        </w:rPr>
        <w:t>Ўзбекистон Республикаси Конституцияси. – Т.: Ўзбекистон, 2014</w:t>
      </w:r>
    </w:p>
    <w:p w:rsidR="00E61A34" w:rsidRPr="00CD13EE" w:rsidRDefault="00E61A34" w:rsidP="00E61A34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Виждон эркинлиги ва диний ташкилотлар тўғрисида»ги Ўзбекистон Республикасининг Қонуни (Янги таҳрир). Адолат. 1998 йил. 224-234 б. </w:t>
      </w:r>
    </w:p>
    <w:p w:rsidR="00E61A34" w:rsidRPr="00CD13EE" w:rsidRDefault="00E61A34" w:rsidP="00E61A34">
      <w:pPr>
        <w:pStyle w:val="aa"/>
        <w:numPr>
          <w:ilvl w:val="0"/>
          <w:numId w:val="12"/>
        </w:numPr>
        <w:ind w:left="567" w:hanging="567"/>
        <w:jc w:val="both"/>
        <w:rPr>
          <w:rStyle w:val="FontStyle28"/>
          <w:rFonts w:eastAsia="Calibri"/>
          <w:b w:val="0"/>
          <w:i/>
          <w:iCs/>
          <w:sz w:val="28"/>
          <w:szCs w:val="28"/>
          <w:lang w:val="uz-Cyrl-UZ"/>
        </w:rPr>
      </w:pPr>
      <w:r w:rsidRPr="00CD13EE">
        <w:rPr>
          <w:rStyle w:val="FontStyle21"/>
          <w:bCs/>
          <w:i w:val="0"/>
          <w:sz w:val="28"/>
          <w:szCs w:val="28"/>
          <w:lang w:val="uz-Cyrl-UZ"/>
        </w:rPr>
        <w:t>2017 - 2021 йилларда Ўзбекистон Республикасини ривожлантиришнинг бешта устувор йўналиши бўйича Ҳаракатлар стратегияси. Ў</w:t>
      </w:r>
      <w:r w:rsidRPr="00CD13EE">
        <w:rPr>
          <w:rStyle w:val="FontStyle21"/>
          <w:bCs/>
          <w:i w:val="0"/>
          <w:sz w:val="28"/>
          <w:szCs w:val="28"/>
        </w:rPr>
        <w:t>збекистон Республ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и</w:t>
      </w:r>
      <w:r w:rsidRPr="00CD13EE">
        <w:rPr>
          <w:rStyle w:val="FontStyle21"/>
          <w:bCs/>
          <w:i w:val="0"/>
          <w:sz w:val="28"/>
          <w:szCs w:val="28"/>
        </w:rPr>
        <w:t>каси Пр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е</w:t>
      </w:r>
      <w:r w:rsidRPr="00CD13EE">
        <w:rPr>
          <w:rStyle w:val="FontStyle21"/>
          <w:bCs/>
          <w:i w:val="0"/>
          <w:sz w:val="28"/>
          <w:szCs w:val="28"/>
        </w:rPr>
        <w:t>зидентин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и</w:t>
      </w:r>
      <w:r w:rsidRPr="00CD13EE">
        <w:rPr>
          <w:rStyle w:val="FontStyle21"/>
          <w:bCs/>
          <w:i w:val="0"/>
          <w:sz w:val="28"/>
          <w:szCs w:val="28"/>
        </w:rPr>
        <w:t xml:space="preserve">нг 2017 йил 7 февралдаги ПФ-4947-сонли Фармонига </w:t>
      </w:r>
      <w:r w:rsidRPr="00CD13EE">
        <w:rPr>
          <w:rStyle w:val="FontStyle21"/>
          <w:bCs/>
          <w:i w:val="0"/>
          <w:sz w:val="28"/>
          <w:szCs w:val="28"/>
          <w:lang w:val="en-US"/>
        </w:rPr>
        <w:t>I</w:t>
      </w:r>
      <w:r w:rsidRPr="00CD13EE">
        <w:rPr>
          <w:rStyle w:val="FontStyle21"/>
          <w:bCs/>
          <w:i w:val="0"/>
          <w:sz w:val="28"/>
          <w:szCs w:val="28"/>
        </w:rPr>
        <w:t xml:space="preserve"> -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>и</w:t>
      </w:r>
      <w:r w:rsidRPr="00CD13EE">
        <w:rPr>
          <w:rStyle w:val="FontStyle21"/>
          <w:bCs/>
          <w:i w:val="0"/>
          <w:sz w:val="28"/>
          <w:szCs w:val="28"/>
        </w:rPr>
        <w:t>лова //</w:t>
      </w:r>
      <w:r w:rsidRPr="00CD13EE">
        <w:rPr>
          <w:rStyle w:val="FontStyle21"/>
          <w:bCs/>
          <w:i w:val="0"/>
          <w:sz w:val="28"/>
          <w:szCs w:val="28"/>
          <w:lang w:val="en-US"/>
        </w:rPr>
        <w:t>http</w:t>
      </w:r>
      <w:r w:rsidRPr="00CD13EE">
        <w:rPr>
          <w:rStyle w:val="FontStyle21"/>
          <w:bCs/>
          <w:i w:val="0"/>
          <w:sz w:val="28"/>
          <w:szCs w:val="28"/>
        </w:rPr>
        <w:t>://</w:t>
      </w:r>
      <w:r w:rsidRPr="00CD13EE">
        <w:rPr>
          <w:rStyle w:val="FontStyle21"/>
          <w:bCs/>
          <w:i w:val="0"/>
          <w:sz w:val="28"/>
          <w:szCs w:val="28"/>
          <w:lang w:val="en-US"/>
        </w:rPr>
        <w:t>www</w:t>
      </w:r>
      <w:r w:rsidRPr="00CD13EE">
        <w:rPr>
          <w:rStyle w:val="FontStyle21"/>
          <w:b/>
          <w:bCs/>
          <w:i w:val="0"/>
          <w:sz w:val="28"/>
          <w:szCs w:val="28"/>
        </w:rPr>
        <w:t>.</w:t>
      </w:r>
      <w:r w:rsidRPr="00CD13EE">
        <w:rPr>
          <w:rStyle w:val="FontStyle21"/>
          <w:bCs/>
          <w:i w:val="0"/>
          <w:sz w:val="28"/>
          <w:szCs w:val="28"/>
          <w:lang w:val="en-US"/>
        </w:rPr>
        <w:t>l</w:t>
      </w:r>
      <w:r w:rsidRPr="00CD13EE">
        <w:rPr>
          <w:rStyle w:val="FontStyle27"/>
          <w:rFonts w:ascii="Times New Roman" w:hAnsi="Times New Roman" w:cs="Times New Roman"/>
          <w:i/>
          <w:sz w:val="28"/>
          <w:szCs w:val="28"/>
          <w:lang w:val="en-US"/>
        </w:rPr>
        <w:t>ex</w:t>
      </w:r>
      <w:r w:rsidRPr="00CD13EE">
        <w:rPr>
          <w:rStyle w:val="FontStyle28"/>
          <w:rFonts w:eastAsia="Calibri"/>
          <w:i/>
          <w:sz w:val="28"/>
          <w:szCs w:val="28"/>
        </w:rPr>
        <w:t>.</w:t>
      </w:r>
      <w:r w:rsidRPr="00CD13EE">
        <w:rPr>
          <w:rStyle w:val="FontStyle28"/>
          <w:rFonts w:eastAsia="Calibri"/>
          <w:i/>
          <w:sz w:val="28"/>
          <w:szCs w:val="28"/>
          <w:lang w:val="en-US"/>
        </w:rPr>
        <w:t>uz</w:t>
      </w:r>
    </w:p>
    <w:p w:rsidR="00E61A34" w:rsidRPr="00CD13EE" w:rsidRDefault="00E61A34" w:rsidP="00E61A34">
      <w:pPr>
        <w:pStyle w:val="aa"/>
        <w:numPr>
          <w:ilvl w:val="0"/>
          <w:numId w:val="12"/>
        </w:numPr>
        <w:ind w:left="567" w:hanging="567"/>
        <w:jc w:val="both"/>
        <w:rPr>
          <w:rStyle w:val="FontStyle21"/>
          <w:bCs/>
          <w:i w:val="0"/>
          <w:sz w:val="28"/>
          <w:szCs w:val="28"/>
          <w:lang w:val="uz-Cyrl-UZ"/>
        </w:rPr>
      </w:pPr>
      <w:r w:rsidRPr="00CD13EE">
        <w:rPr>
          <w:rStyle w:val="FontStyle21"/>
          <w:bCs/>
          <w:i w:val="0"/>
          <w:sz w:val="28"/>
          <w:szCs w:val="28"/>
          <w:lang w:val="uz-Cyrl-UZ"/>
        </w:rPr>
        <w:t>Ўзбекистон Республикаси Вазирлар Маҳкамаси ҳузуридаги “Ўзбекистондаги Ислом маданияти маркази фаолиятини ташкил этиш тўғрисида”</w:t>
      </w:r>
      <w:r w:rsidRPr="00CD13EE">
        <w:rPr>
          <w:rFonts w:ascii="Times New Roman" w:hAnsi="Times New Roman"/>
          <w:i/>
          <w:lang w:val="uz-Cyrl-UZ"/>
        </w:rPr>
        <w:t xml:space="preserve"> 2017 йил 23 июндаги ПҚ-3080-сон Вазирлар Маҳкамаси Қарори </w:t>
      </w:r>
      <w:r w:rsidRPr="00CD13EE">
        <w:rPr>
          <w:rStyle w:val="FontStyle21"/>
          <w:bCs/>
          <w:i w:val="0"/>
          <w:sz w:val="28"/>
          <w:szCs w:val="28"/>
          <w:lang w:val="uz-Cyrl-UZ"/>
        </w:rPr>
        <w:t xml:space="preserve">(31-(791)-сон 782-модда) Ўзбекистон Республикаси Қонун хужжатлари тўплами. 2017 й </w:t>
      </w:r>
    </w:p>
    <w:p w:rsidR="00E61A34" w:rsidRPr="00CD13EE" w:rsidRDefault="00E61A34" w:rsidP="00E61A34">
      <w:pPr>
        <w:pStyle w:val="aa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bCs/>
          <w:iCs/>
          <w:lang w:val="uz-Cyrl-UZ"/>
        </w:rPr>
      </w:pPr>
      <w:r w:rsidRPr="00CD13EE">
        <w:rPr>
          <w:rFonts w:ascii="Times New Roman" w:hAnsi="Times New Roman"/>
          <w:lang w:val="uz-Cyrl-UZ"/>
        </w:rPr>
        <w:t xml:space="preserve">Ўзбекистон Республикаси Президентининг “Ўзбекистон Республикаси Вазирлар Маҳкамаси ҳузуридаги имом Бухорий ҳалқаро илмий тадқиқот маркази фаолиятини ташкил этиш тўғрисида 2017 йил 27 мартдаги ПҚ – 2855-сон қарори. </w:t>
      </w:r>
    </w:p>
    <w:p w:rsidR="003B0540" w:rsidRPr="00CD13EE" w:rsidRDefault="003B0540" w:rsidP="004D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lastRenderedPageBreak/>
        <w:t xml:space="preserve">1.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munosabatlarni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tartibga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solishning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tiplari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Rivojlangan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demokratik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yo‘ldan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ketayotgan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davlatlarning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hozirgi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zamonda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asosan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erkinligini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ta’minlash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bag‘rikenglikka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asoslangan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SHunga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qaramay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bugungi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kunda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munosabatlar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mazmuni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mohiyati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shakllari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usullariga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ko‘ra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turli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davlatlarda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o‘ziga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xoslikka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tiplari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modellari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haqida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fikr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yuritish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mumkin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Hozirda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munosabatlarni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solishning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shakllari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mavjud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bugunga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kelib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quyidagi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uchta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turkumga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ajratiladi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: </w:t>
      </w: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1.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–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identifikatsion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Bunday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biz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misol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uchun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Daniya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Gretsiya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SHvetsiya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Finlyandiya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Norvegiyada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ya’ni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Evropa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ittifoqining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deyarli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uchdan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bir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qismida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),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Saudiya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Arabistoni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Bruney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qirolligi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Qatar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Eron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respublikasida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kuzatishimiz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mumkin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2.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Separatsion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ya’ni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dindan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ajratilganligiga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asoslangan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munosabatlarni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tartibga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solishning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turiga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AQSH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Fransiya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Niderlandiya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Turkiya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MDH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davlatlari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jumladan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O‘zbekiston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Respublikasi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kabi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davlatlarni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misol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sifatida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keltirish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mumkin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3. 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Kooperatsion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–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neytralitet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Germaniya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Ispaniya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Italiya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Belgiya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Lyuksemburg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Avstriya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kabi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aksini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topgan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Identifikatsion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model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muayyan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tarixiy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shart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sharoitlardan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kelib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chiqqan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Evropaning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rasmiy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belgilash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prinsipiga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Jumladan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hozirgi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kunda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anglikan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rasmiy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nomlanishi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maqomiga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egadir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Qirolikdagi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mavqei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qator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parlament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qonunlar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kelishuv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bitimlari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belgilanadi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hujjatlardan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muhimi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– 1534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yili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Suprematiya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ustuvorlik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akt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Unga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binoan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anglikan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rahbari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(1952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yildang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buyon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qirolicha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Monarx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hukumat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tavsiyasiga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binoan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episkoplarni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tayinlaydi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episkoplarning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aksariyat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qismi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lordlar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palatasining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a’zolaridir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xizmatchilaridan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unvon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bag‘ishlash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jarayonida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itoatkorlik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qasamyod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qilishi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talab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muhim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hujjatlari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anglikan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Bosh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sinodi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qarorlari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kuchga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kirishidan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avval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parlament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tasdiqlanishi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qirol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ma’qullanishi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Anglikan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xizmatchilari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rasmiylashtirilgan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nikohlar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yuridik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kuchga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mablag‘larini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bevosita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balki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vakolatdorlari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nomli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moliyaviy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orqali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tasarruf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etadi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qo‘lida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Angliya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rasmiy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moliya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mablag‘lar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to‘planadi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SHvetsiya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Daniya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Norvegiyada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maqomi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maqomidan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jiddiy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farq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Skandinaviya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xarakterli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belgisi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protestantizmning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qat’iy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ustuvorligi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aholining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90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foizidan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ko‘prog‘i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protestant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cherkoviga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mansubdir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lastRenderedPageBreak/>
        <w:t>YAqin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O‘rta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sharq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mamlakatlarining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aksariyatida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ko‘pincha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haqda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ularning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nomlarida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ko‘rsatiladi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Pokiston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Eron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Afg‘oniston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Misr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Iroq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Jazoir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Tunis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Iordaniyada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1979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yili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23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dekabrda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tasdiqlangan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Eron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Respublikasining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Konstitutsiyasida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aytilishicha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, «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Eronda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12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imomlarning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mavjudligini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nazarda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tutuvchi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ja’fariya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mazhabi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rasmiy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sifatida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e’tirof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etiladi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hamda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bu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abadiy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o‘zgarmas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bo‘lib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qoladi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» (12-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). «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Barcha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fuqarolik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moliyaviy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iqtisodiy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ma’muriy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madaniy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harbiy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siyosiy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boshqa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qonun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qoidalar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islom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normalari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asosida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belgilanishi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lozim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» (4-</w:t>
      </w:r>
      <w:r w:rsidR="00AF69A1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modda</w:t>
      </w:r>
      <w:r w:rsidRPr="00CD13EE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).</w:t>
      </w:r>
      <w:r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Qirol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vaqtning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hukumat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rahbari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qo‘mondon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rahbar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namoyon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bo‘ladigan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mutlaq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teokratik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monarxiyaga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Saudiya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Arbistonini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misol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keltirsa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Qur’oni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karim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Payg‘ambar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alayhis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salom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sunnatlari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normadan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ustun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ekani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Saudiya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Arabistonida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mahalliy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aholi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to‘liq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Makka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Madina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shaharlariga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islomdan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kirishi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taqiqlanadi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Qirollikda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hokimiyati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shariat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sudlari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Qur’on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ko‘rsatmalariga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amalga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oshiriladi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Isroilda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yahudiylik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mexanizmining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qismi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aksini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topgan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yagona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mavjud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bo‘lmay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o‘rniga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Knesset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qilinadigan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1952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yilgi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binoan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Isroil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fuqaroligi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yahudiylikdan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umuman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dinsiz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yahudiylarga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berilmaydi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Sinagoga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ravvinatning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jamiyat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sohalardagi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aralashuvi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nihoyatda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chiqarilgan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ko‘rsatmalar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orqali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hayotining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jabhalarini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konstitutsiyalarida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ajratilganligi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separatsion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mustahkamlangan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fuqarolarining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shaxsiy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holatni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jamiyatda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degan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ibora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izohlasa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Separatsion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vakillaridan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AQSHda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ishlariga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ikki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tomonlama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aralashmaslik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jamoalarning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konfessiyalar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betaraf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ekanini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nazarda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tutuvchi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qat’iy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tamoyili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yoyilgan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prinsipi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shaklda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namoyon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Evropada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tizim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qarshi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kurash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jarayonlari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natijasi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shakllandi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XIX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davomida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Fransiyada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hamkorlikdan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butunlay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uzilishga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qadar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o‘zgarib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1905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yildan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ravishda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bog‘liq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ravishda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1905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yili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Fransiyada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quyidagilarni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:</w:t>
      </w:r>
    </w:p>
    <w:p w:rsidR="003B0540" w:rsidRPr="00CD13EE" w:rsidRDefault="00AF69A1" w:rsidP="00E36F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3B0540" w:rsidRPr="00CD13EE" w:rsidRDefault="00AF69A1" w:rsidP="00E36F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moliyaviy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jihatdan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qo‘llab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quvvatlanishining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taqiqlanishi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3B0540" w:rsidRPr="00CD13EE" w:rsidRDefault="00AF69A1" w:rsidP="00E36F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Barcha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istisnosiz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Fransiyada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qabuli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marosim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urf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odatlarni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bajo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keltirish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hokimiyati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ruxsati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nazorati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amalga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oshirilishini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belgilab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qo‘ydi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Kooperatsion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neytralitet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Germaniya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federativ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respublikasini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misol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tariqasida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keltirish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GFR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munosabatlarda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hokimiyatining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ustuvorligi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vujudga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Veymar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davridan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boshlab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Germaniyada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sekulyarlik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tamoyiliga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asoslanadi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hokimiyati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muunosabatlarida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muayyan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masofa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saqlanadi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Hozirgi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kunda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masofani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neytralitet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termini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atash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odat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Hozirgi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kunda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GFR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140-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solinadi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navbatida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mazkur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1919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yilgi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Veymar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Konstitutsiyasining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136-139, 141-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moddalaridan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topgan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Mazkur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qoidalarga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binoan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GFR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biror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maqomini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bermaydi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GFRda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mashg‘ulotlar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o‘zaro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xos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ifodasi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mashg‘ulotlar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umumiy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GFR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Konstitutsiyasining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7-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moddasiga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binoan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ommaviy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maktablarda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majburiy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predmet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o‘qitiladi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chiqilayotgan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doirasida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1920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yilgi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Avstriya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xosliklar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to‘liq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Avstriyada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GFRda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bo‘lgani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cherkov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ajratilmagan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Katolik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maqomiga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bo‘lmasa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sohada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hukmronlik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mafkuraviy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hayotning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jabhalariga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jiddiy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ta’sir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ko‘rsatadi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taxminan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90%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katoliklar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YUqoridagi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misolidan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ko‘rinib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turibdiki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xorijiy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mamlakatlarda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maqomini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konstitutsiyaviy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qonunchilik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normalari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nihoyatda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tumandir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odatda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o‘zaro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jamiyatda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tutgan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bog‘liq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masalalarni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maxsus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hollarda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butun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boblarni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aks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ettiradi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Umuman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olganda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konfessiyalar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huquqlarining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kafili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tarkib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topgan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mohiyati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mazmuni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separatsion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umumta’lim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maktablaridan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ta’limning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ajratilganligi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konfessional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bag‘rikenglik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ta’minlanganligiga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asoslanadi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dunyoviy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mamlaktimizda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alohida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haqda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mamlakatimiz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Konstitutsiyasining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61-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deyiladi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: «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birlashmalar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oldida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tengdirlar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birlashmalarning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faoliyatiga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aralashmaydi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». </w:t>
      </w:r>
    </w:p>
    <w:p w:rsidR="003B0540" w:rsidRPr="00CD13EE" w:rsidRDefault="00AF69A1" w:rsidP="00E3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g‘oya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mustahkamlangan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unda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ajratilganligi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boshqalariga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nisbatan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imtiyoz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cheklashlar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belgilanishiga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yo‘l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qo‘yilmasligi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belgilab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qo‘yilgan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mamlakatimizda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ishlarga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ishlariga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hujjatlarida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ko‘rsatilgan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holatlar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bundan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mustasno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albatta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aralashmasligini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anglatadi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Buning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zamirida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qiluvchi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qilmaydigan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fuqarolar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o‘zaro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murosa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hurmat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o‘rnatilishiga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ko‘maklashishi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vujudga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qarama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qarshilik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keskinliklarning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oldini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konfessiyalar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tinchlik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totuvlikni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qo‘llab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quvvatlashi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zimmasiga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vazifasini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bajarishni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yuklamasligi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hujjatlariga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zid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bo‘lmagan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faoliyatiga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aralashmasligi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kabilar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yotadi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ind w:firstLine="567"/>
        <w:rPr>
          <w:b w:val="0"/>
          <w:bCs/>
          <w:noProof/>
          <w:szCs w:val="28"/>
          <w:lang w:val="uz-Cyrl-UZ"/>
        </w:rPr>
      </w:pPr>
      <w:r>
        <w:rPr>
          <w:b w:val="0"/>
          <w:bCs/>
          <w:noProof/>
          <w:szCs w:val="28"/>
          <w:lang w:val="uz-Cyrl-UZ"/>
        </w:rPr>
        <w:t>SHu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bilan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birga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O‘zbekiston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Respublikasi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demokratik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prinsiplarga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sodiqligini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ifodasi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sifatda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davlatning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din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va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diniy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tashkilotlar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bilan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o‘zaro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munosabatda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quyidagi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pritsiplarga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amal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qilishini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e’lon</w:t>
      </w:r>
      <w:r w:rsidR="003B0540" w:rsidRPr="00CD13EE">
        <w:rPr>
          <w:b w:val="0"/>
          <w:bCs/>
          <w:noProof/>
          <w:szCs w:val="28"/>
          <w:lang w:val="uz-Cyrl-UZ"/>
        </w:rPr>
        <w:t xml:space="preserve"> </w:t>
      </w:r>
      <w:r>
        <w:rPr>
          <w:b w:val="0"/>
          <w:bCs/>
          <w:noProof/>
          <w:szCs w:val="28"/>
          <w:lang w:val="uz-Cyrl-UZ"/>
        </w:rPr>
        <w:t>qildi</w:t>
      </w:r>
      <w:r w:rsidR="003B0540" w:rsidRPr="00CD13EE">
        <w:rPr>
          <w:b w:val="0"/>
          <w:bCs/>
          <w:noProof/>
          <w:szCs w:val="28"/>
          <w:lang w:val="uz-Cyrl-UZ"/>
        </w:rPr>
        <w:t>:</w:t>
      </w:r>
    </w:p>
    <w:p w:rsidR="003B0540" w:rsidRPr="00CD13EE" w:rsidRDefault="00AF69A1" w:rsidP="00E61A34">
      <w:pPr>
        <w:pStyle w:val="a4"/>
        <w:numPr>
          <w:ilvl w:val="0"/>
          <w:numId w:val="6"/>
        </w:numPr>
        <w:tabs>
          <w:tab w:val="clear" w:pos="1429"/>
          <w:tab w:val="num" w:pos="567"/>
        </w:tabs>
        <w:ind w:left="567" w:hanging="501"/>
        <w:rPr>
          <w:b w:val="0"/>
          <w:bCs/>
          <w:i/>
          <w:noProof/>
          <w:szCs w:val="28"/>
          <w:lang w:val="uz-Cyrl-UZ"/>
        </w:rPr>
      </w:pPr>
      <w:r>
        <w:rPr>
          <w:b w:val="0"/>
          <w:bCs/>
          <w:i/>
          <w:noProof/>
          <w:szCs w:val="28"/>
          <w:lang w:val="uz-Cyrl-UZ"/>
        </w:rPr>
        <w:t>dindorlarning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diniy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tuyg‘ularini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hurmat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qilish</w:t>
      </w:r>
      <w:r w:rsidR="003B0540" w:rsidRPr="00CD13EE">
        <w:rPr>
          <w:b w:val="0"/>
          <w:bCs/>
          <w:i/>
          <w:noProof/>
          <w:szCs w:val="28"/>
          <w:lang w:val="uz-Cyrl-UZ"/>
        </w:rPr>
        <w:t>;</w:t>
      </w:r>
    </w:p>
    <w:p w:rsidR="003B0540" w:rsidRPr="00CD13EE" w:rsidRDefault="00AF69A1" w:rsidP="00E61A34">
      <w:pPr>
        <w:pStyle w:val="a4"/>
        <w:numPr>
          <w:ilvl w:val="0"/>
          <w:numId w:val="6"/>
        </w:numPr>
        <w:tabs>
          <w:tab w:val="clear" w:pos="1429"/>
          <w:tab w:val="num" w:pos="567"/>
        </w:tabs>
        <w:ind w:left="567" w:hanging="501"/>
        <w:rPr>
          <w:b w:val="0"/>
          <w:bCs/>
          <w:i/>
          <w:noProof/>
          <w:szCs w:val="28"/>
          <w:lang w:val="uz-Cyrl-UZ"/>
        </w:rPr>
      </w:pPr>
      <w:r>
        <w:rPr>
          <w:b w:val="0"/>
          <w:bCs/>
          <w:i/>
          <w:noProof/>
          <w:szCs w:val="28"/>
          <w:lang w:val="uz-Cyrl-UZ"/>
        </w:rPr>
        <w:t>diniy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e’tiqodlarni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fuqarolarning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yoki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ular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uyushmalarining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xususiy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ishi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deb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tan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olish</w:t>
      </w:r>
      <w:r w:rsidR="003B0540" w:rsidRPr="00CD13EE">
        <w:rPr>
          <w:b w:val="0"/>
          <w:bCs/>
          <w:i/>
          <w:noProof/>
          <w:szCs w:val="28"/>
          <w:lang w:val="uz-Cyrl-UZ"/>
        </w:rPr>
        <w:t>;</w:t>
      </w:r>
    </w:p>
    <w:p w:rsidR="003B0540" w:rsidRPr="00CD13EE" w:rsidRDefault="00AF69A1" w:rsidP="00E61A34">
      <w:pPr>
        <w:pStyle w:val="a4"/>
        <w:numPr>
          <w:ilvl w:val="0"/>
          <w:numId w:val="6"/>
        </w:numPr>
        <w:tabs>
          <w:tab w:val="clear" w:pos="1429"/>
          <w:tab w:val="num" w:pos="567"/>
        </w:tabs>
        <w:ind w:left="567" w:hanging="501"/>
        <w:rPr>
          <w:b w:val="0"/>
          <w:bCs/>
          <w:i/>
          <w:noProof/>
          <w:szCs w:val="28"/>
          <w:lang w:val="uz-Cyrl-UZ"/>
        </w:rPr>
      </w:pPr>
      <w:r>
        <w:rPr>
          <w:b w:val="0"/>
          <w:bCs/>
          <w:i/>
          <w:noProof/>
          <w:szCs w:val="28"/>
          <w:lang w:val="uz-Cyrl-UZ"/>
        </w:rPr>
        <w:t>diniy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qarashlarga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amal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qiluvchi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fuqarolarning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ham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, </w:t>
      </w:r>
      <w:r>
        <w:rPr>
          <w:b w:val="0"/>
          <w:bCs/>
          <w:i/>
          <w:noProof/>
          <w:szCs w:val="28"/>
          <w:lang w:val="uz-Cyrl-UZ"/>
        </w:rPr>
        <w:t>ularga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amal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qilmaydigan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fuqarolarning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ham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huquqlarini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teng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kafolatlash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hamda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ularni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ta’qib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qilishga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yo‘l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qo‘ymaslik</w:t>
      </w:r>
      <w:r w:rsidR="003B0540" w:rsidRPr="00CD13EE">
        <w:rPr>
          <w:b w:val="0"/>
          <w:bCs/>
          <w:i/>
          <w:noProof/>
          <w:szCs w:val="28"/>
          <w:lang w:val="uz-Cyrl-UZ"/>
        </w:rPr>
        <w:t>;</w:t>
      </w:r>
    </w:p>
    <w:p w:rsidR="003B0540" w:rsidRPr="00CD13EE" w:rsidRDefault="00AF69A1" w:rsidP="00E61A34">
      <w:pPr>
        <w:pStyle w:val="a4"/>
        <w:numPr>
          <w:ilvl w:val="0"/>
          <w:numId w:val="6"/>
        </w:numPr>
        <w:tabs>
          <w:tab w:val="clear" w:pos="1429"/>
          <w:tab w:val="num" w:pos="567"/>
        </w:tabs>
        <w:ind w:left="567" w:hanging="501"/>
        <w:rPr>
          <w:b w:val="0"/>
          <w:bCs/>
          <w:i/>
          <w:noProof/>
          <w:szCs w:val="28"/>
          <w:lang w:val="uz-Cyrl-UZ"/>
        </w:rPr>
      </w:pPr>
      <w:r>
        <w:rPr>
          <w:b w:val="0"/>
          <w:bCs/>
          <w:i/>
          <w:noProof/>
          <w:szCs w:val="28"/>
          <w:lang w:val="uz-Cyrl-UZ"/>
        </w:rPr>
        <w:t>ma’naviy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tiklanish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, </w:t>
      </w:r>
      <w:r>
        <w:rPr>
          <w:b w:val="0"/>
          <w:bCs/>
          <w:i/>
          <w:noProof/>
          <w:szCs w:val="28"/>
          <w:lang w:val="uz-Cyrl-UZ"/>
        </w:rPr>
        <w:t>umuminsoniy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axloqiy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qadriyatlarni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qaror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toptirish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ishida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turli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diniy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uyushmalarning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imkoniyatlaridan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foydalanish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uchun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ular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bilan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muloqot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qilish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yo‘llarini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izlash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zarurati</w:t>
      </w:r>
      <w:r w:rsidR="003B0540" w:rsidRPr="00CD13EE">
        <w:rPr>
          <w:b w:val="0"/>
          <w:bCs/>
          <w:i/>
          <w:noProof/>
          <w:szCs w:val="28"/>
          <w:lang w:val="uz-Cyrl-UZ"/>
        </w:rPr>
        <w:t>;</w:t>
      </w:r>
    </w:p>
    <w:p w:rsidR="003B0540" w:rsidRPr="00CD13EE" w:rsidRDefault="00AF69A1" w:rsidP="00E61A34">
      <w:pPr>
        <w:pStyle w:val="a4"/>
        <w:numPr>
          <w:ilvl w:val="0"/>
          <w:numId w:val="6"/>
        </w:numPr>
        <w:tabs>
          <w:tab w:val="clear" w:pos="1429"/>
          <w:tab w:val="num" w:pos="567"/>
        </w:tabs>
        <w:ind w:left="567" w:hanging="501"/>
        <w:rPr>
          <w:b w:val="0"/>
          <w:bCs/>
          <w:i/>
          <w:noProof/>
          <w:szCs w:val="28"/>
          <w:lang w:val="uz-Cyrl-UZ"/>
        </w:rPr>
      </w:pPr>
      <w:r>
        <w:rPr>
          <w:b w:val="0"/>
          <w:bCs/>
          <w:i/>
          <w:noProof/>
          <w:szCs w:val="28"/>
          <w:lang w:val="uz-Cyrl-UZ"/>
        </w:rPr>
        <w:t>dindan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buzg‘unchilik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maqsadlarida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foydalanishga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yo‘l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qo‘yib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bo‘lmasligini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e’tirof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 </w:t>
      </w:r>
      <w:r>
        <w:rPr>
          <w:b w:val="0"/>
          <w:bCs/>
          <w:i/>
          <w:noProof/>
          <w:szCs w:val="28"/>
          <w:lang w:val="uz-Cyrl-UZ"/>
        </w:rPr>
        <w:t>etish</w:t>
      </w:r>
      <w:r w:rsidR="003B0540" w:rsidRPr="00CD13EE">
        <w:rPr>
          <w:b w:val="0"/>
          <w:bCs/>
          <w:i/>
          <w:noProof/>
          <w:szCs w:val="28"/>
          <w:lang w:val="uz-Cyrl-UZ"/>
        </w:rPr>
        <w:t xml:space="preserve">. 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YUqoridagilarga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asoslangan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xulosa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biz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yuqorida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tahlil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uch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tuman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qirralarini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jihatlarini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xossalarini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to‘laligicha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qamrab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ololmaydi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modelida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elementlari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uchrab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jihatlarni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hisobga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olgan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aytish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mumkinki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o‘rtasidagi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munosabatning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qaysi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modelda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taraqqiyoti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undagi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aholining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mentaliteti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dinning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xususiyati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mamlakatdagi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demokratik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vaziyat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huquqlarining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ta’minlanganligi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xalqaro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ahvol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jamiyatning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onggi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omillar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ta’sir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etishi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shubhasizdir</w:t>
      </w:r>
      <w:r w:rsidR="003B0540" w:rsidRPr="00CD13E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2.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O‘zbekistonda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erkinligini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ta’minlanishi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erkinliklar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sirasiga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kiruvchi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ajralmas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huquqlaridan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biridir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davlatning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insonga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bergan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tuhfasi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balki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insonning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munosib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turmush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tarzini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tanlash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real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imkoniyati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kiruvchi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erkinliklarni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chiqaruvchi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xohlaganda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cheklashga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Xudo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in’om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sanaladi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xuddi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erkinliklaridan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ifodasini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ostiga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olingandagina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ko‘tariladi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qalb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kechinmalarini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ifodalovchi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yo‘qotadi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deyarli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qator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Atama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qatlamga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mansub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Madvaliev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tahriri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nashr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izohli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ta’rif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3B0540" w:rsidRPr="00CD13EE" w:rsidRDefault="003B0540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» (</w:t>
      </w:r>
      <w:r w:rsidR="00AF69A1">
        <w:rPr>
          <w:rFonts w:ascii="Times New Roman" w:hAnsi="Times New Roman" w:cs="Times New Roman"/>
          <w:i/>
          <w:sz w:val="28"/>
          <w:szCs w:val="28"/>
          <w:lang w:val="uz-Cyrl-UZ"/>
        </w:rPr>
        <w:t>arab</w:t>
      </w:r>
      <w:r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ehtiros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his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tuyg‘u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insof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diyonat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kishining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xatti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harakati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qilmishi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yurish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turishi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odamlar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jamoatchilik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oldidagi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mas’uliyat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hissi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insoniylikning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belgilaridan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diyonat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insof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deya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izoh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ko‘rinib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turibdiki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so‘zining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ma’nosi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xatti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harakatilari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o‘zgalar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oldidagi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mas’uliyat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hissi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hisoblanar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Aslida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qaraganda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bois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atamashunosligida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unchalik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ijobiy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Normativ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izohlash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istisno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eskirgan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majoziy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taqqoslashlar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sifatlashlar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kinoyalar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qonunchiligimizga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ixtiro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mohiyatini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ommaga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izohlab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aynan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yoritishga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qilamiz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mezonda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qomusi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ta’kidlanishicha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Hamma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xohlagan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qilmaslik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qarashlarni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singdirishga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 (31-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degan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mustahkamlangan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/>
          <w:sz w:val="28"/>
          <w:szCs w:val="28"/>
          <w:lang w:val="uz-Cyrl-UZ"/>
        </w:rPr>
        <w:t>degan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tushunchaning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mazmun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mohiyati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xohlagan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qilmaslik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ixtiyorini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qamrab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oladi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so‘ngida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qarashlarni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majburan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singdirishga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yo‘l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qo‘yilmaydi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», </w:t>
      </w:r>
      <w:r>
        <w:rPr>
          <w:rFonts w:ascii="Times New Roman" w:hAnsi="Times New Roman"/>
          <w:sz w:val="28"/>
          <w:szCs w:val="28"/>
          <w:lang w:val="uz-Cyrl-UZ"/>
        </w:rPr>
        <w:t>degan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muhim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qoida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haqli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huquqning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buzilmasligi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zamin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tayyorlangan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Buning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zamirida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erkinligiga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nisbatan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tahdidni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bartaraf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istagi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yotadi</w:t>
      </w:r>
      <w:r w:rsidR="003B0540" w:rsidRPr="00CD13EE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Konstitutsiyamizdagi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kategoriya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3B0540" w:rsidRPr="00CD13EE" w:rsidRDefault="00AF69A1" w:rsidP="00E61A3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Muayyan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Xudoga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ishonishi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xohlagan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qilishi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;</w:t>
      </w:r>
    </w:p>
    <w:p w:rsidR="003B0540" w:rsidRPr="00CD13EE" w:rsidRDefault="00AF69A1" w:rsidP="00E61A3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Xudoga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ishonmasligi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ularga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nisbatan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betaraf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3B0540" w:rsidRPr="00CD13EE" w:rsidRDefault="00AF69A1" w:rsidP="00E61A3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Dah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z-Cyrl-UZ"/>
        </w:rPr>
        <w:t>riy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qilmaygina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qolmasdan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balki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ularni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inkor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etishi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aynan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cheklanadi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degani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Odatda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yoritiladigan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qamrab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kengroq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yoritiladi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sharhlanadi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31-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zamirida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3-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kengroq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aytilishicha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,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qilmaslikdan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huquqidir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etmaslikka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rusumlar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qatnashmaslikka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belgilayotgan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Demak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faqat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Xudoga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ishonmaslikdan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olmaslikni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ixtiyori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maslaning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taqiqlanadi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vakolatga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 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nomigagina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xudojo‘y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sanamlar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jonivorlarga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sig‘inishi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dinsiz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dahriy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butunlay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ayblash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tahqirlash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imtiyoz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Kimning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bo‘lmasligi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havola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havola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etilayotgan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xilof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bo‘lmasligi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taqiqlangan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e’zo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g‘oyalarini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targ‘ib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xilof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sanaladi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qarashlaridan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tahqirlashi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taqiqlanadi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navbatida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javobgarlikka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Ba’zi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adabiyotlarda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tushunchasini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uchratish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Aslida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 (</w:t>
      </w:r>
      <w:r>
        <w:rPr>
          <w:rFonts w:ascii="Times New Roman" w:hAnsi="Times New Roman" w:cs="Times New Roman"/>
          <w:sz w:val="28"/>
          <w:szCs w:val="28"/>
          <w:lang w:val="uz-Cyrl-UZ"/>
        </w:rPr>
        <w:t>arabcha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i’taqada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ishonch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imonli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ko‘ngilda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ma’nosiga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Xudoga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g‘ayritabiiy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keltirishni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singari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ixtiyor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dahriy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musulmon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agar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jazo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sanksiyalarining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kengroq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atroflicha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umumjahon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deklaratsiyasining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18-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aytilishicha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, «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ta’limotda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ommaviy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yakka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:rsidR="003B0540" w:rsidRPr="00CD13EE" w:rsidRDefault="00AF69A1" w:rsidP="00E36F3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e’tiqodiga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; </w:t>
      </w:r>
    </w:p>
    <w:p w:rsidR="003B0540" w:rsidRPr="00CD13EE" w:rsidRDefault="00AF69A1" w:rsidP="00E36F3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e’tiqodini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o‘zgartirish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;</w:t>
      </w:r>
    </w:p>
    <w:p w:rsidR="003B0540" w:rsidRPr="00CD13EE" w:rsidRDefault="00AF69A1" w:rsidP="00E36F3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ta’limotda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toat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qilishda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rusm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ommaviy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xususiy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tartibda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;</w:t>
      </w:r>
    </w:p>
    <w:p w:rsidR="003B0540" w:rsidRPr="00CD13EE" w:rsidRDefault="00AF69A1" w:rsidP="00E36F34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e’tiqodiga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yakka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o‘zi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boshqalar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siyosiy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Paktning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19-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izoh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ta’sirida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bo‘lmasligi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qonunchiligimizda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taqiqlangan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missionerlikning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ko‘rinishiga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aylanib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Xulosa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erkinlikni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kafolatlash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ro‘yobga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qatorda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poymol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tahdidning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ustuvorligi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mezon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tatbiq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huquqlardan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ro‘yobga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madaniy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rivojlanganlik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ko‘rsatkichlaridan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pStyle w:val="a3"/>
        <w:spacing w:after="0" w:line="240" w:lineRule="auto"/>
        <w:ind w:left="207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lastRenderedPageBreak/>
        <w:t xml:space="preserve">3.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O‘zbekistonda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tashkilotlar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munosabatlar</w:t>
      </w:r>
      <w:r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huquqini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oshirishlarida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munosabatlarda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sub’ekt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tomondan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qiluvchilar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tomondan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uchinchi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tomondan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qatnashadi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xarakterdagi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qaramay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tasavvur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quvvatlaydi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ma’naviy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qadriyatlarini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tiklanishi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rivojlanishida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ko‘magiga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ajralmas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munosabatlarda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etuvchi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davlatning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ahamiyati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birmuncha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oydin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maqomi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vazifalari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ma’lumotga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ko‘nikmalarning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ortishiga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8-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bag‘ishlangan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aytilishicha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, «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rusumlar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ko‘ngilli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masjidlar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sinagogalar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monastirlar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ta’rif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uchraydi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Armaniston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rusumlar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ko‘ngilli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eparxiyalar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monastirlar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kongregatsiyalar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nashriyotlar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dir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deya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ta’rif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Rossiya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Federatsiyasining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federal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8-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uz-Cyrl-UZ"/>
        </w:rPr>
        <w:t>bandida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: «</w:t>
      </w:r>
      <w:r>
        <w:rPr>
          <w:rFonts w:ascii="Times New Roman" w:hAnsi="Times New Roman" w:cs="Times New Roman"/>
          <w:sz w:val="28"/>
          <w:szCs w:val="28"/>
          <w:lang w:val="uz-Cyrl-UZ"/>
        </w:rPr>
        <w:t>Rossiya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Federatsiyasi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Rossiya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Federatsiyasi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istiqomat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tarqatish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ko‘ngilli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Demak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tushunchasiga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ta’riflar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mushtarak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Umuman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qaraganda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ko‘maklashuvchi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notijorat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ko‘ngilli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Mamlakatimizda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yuritadigan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Konstitutsiyasiga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tahrirdagi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tahrirdagi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rusumlar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etishlariga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ko‘maklashish</w:t>
      </w:r>
      <w:r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Qonunchilikda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jamiyatlar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o‘quv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yurtlari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masjidlar</w:t>
      </w:r>
      <w:r w:rsidR="003B0540"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cherkovlar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sinagogalar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monastirlar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maqomi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e’tirof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avvalo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Respublikamizda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ustav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nizom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joylardagi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o‘tkazilgandan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maqomiga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Respublikamizning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1" w:name="822330"/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«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bookmarkEnd w:id="1"/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Mahkamasi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to‘rtta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tashabbuskorlar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:rsidR="003B0540" w:rsidRPr="00CD13EE" w:rsidRDefault="003B0540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18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yoshga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to‘lgan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bo‘lishlari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deyarli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davlatlarning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qonunchiligida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mustahkamlangan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qoida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18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yoshga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to‘lgach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xatti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harakatining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mazmun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mohiyatini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anglab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etadi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sudda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da’vogar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javobgar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huquqiga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muqim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yashayotgan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muqim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yashovchi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mo‘ljallanadi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xorijda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yashovchi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etiladigan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tuzishdan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ko‘zlangan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ezgu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bo‘lavermaydi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yaqin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o‘tmishimizda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ekstremistik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oqimlar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misolida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fuqaroligiga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mamlakatimizdagi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qat’i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faqat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bo‘lmasligining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unchalik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ahamiyati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qismi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haqlidir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uz-Cyrl-UZ"/>
        </w:rPr>
        <w:t>nafardan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bo‘lmasliklari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CD13EE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Respublikamizning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dastlabki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tahrirdagi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13-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sakkiz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tashabbusi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jamoat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birlashmalaridan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jihatlarda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kattaroq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muqarrar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Dunyo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qonunchiligiga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qaratilsa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tashabbuskorlarga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minimal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Rossiya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Federatsiyasi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Qozog‘istonda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Polsha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Litvada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15, </w:t>
      </w:r>
      <w:r>
        <w:rPr>
          <w:rFonts w:ascii="Times New Roman" w:hAnsi="Times New Roman" w:cs="Times New Roman"/>
          <w:sz w:val="28"/>
          <w:szCs w:val="28"/>
          <w:lang w:val="uz-Cyrl-UZ"/>
        </w:rPr>
        <w:t>Latviyada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25, </w:t>
      </w:r>
      <w:r>
        <w:rPr>
          <w:rFonts w:ascii="Times New Roman" w:hAnsi="Times New Roman" w:cs="Times New Roman"/>
          <w:sz w:val="28"/>
          <w:szCs w:val="28"/>
          <w:lang w:val="uz-Cyrl-UZ"/>
        </w:rPr>
        <w:t>Vengriyada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100, </w:t>
      </w:r>
      <w:r>
        <w:rPr>
          <w:rFonts w:ascii="Times New Roman" w:hAnsi="Times New Roman" w:cs="Times New Roman"/>
          <w:sz w:val="28"/>
          <w:szCs w:val="28"/>
          <w:lang w:val="uz-Cyrl-UZ"/>
        </w:rPr>
        <w:t>Armaniston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Qirg‘izistonda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200, </w:t>
      </w:r>
      <w:r>
        <w:rPr>
          <w:rFonts w:ascii="Times New Roman" w:hAnsi="Times New Roman" w:cs="Times New Roman"/>
          <w:sz w:val="28"/>
          <w:szCs w:val="28"/>
          <w:lang w:val="uz-Cyrl-UZ"/>
        </w:rPr>
        <w:t>CHexiyada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300, </w:t>
      </w:r>
      <w:r>
        <w:rPr>
          <w:rFonts w:ascii="Times New Roman" w:hAnsi="Times New Roman" w:cs="Times New Roman"/>
          <w:sz w:val="28"/>
          <w:szCs w:val="28"/>
          <w:lang w:val="uz-Cyrl-UZ"/>
        </w:rPr>
        <w:t>Turkmanistonda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uz-Cyrl-UZ"/>
        </w:rPr>
        <w:t>nafardan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tashabbusi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bilangina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sharoitidan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chiqqan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belgilanishini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 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ustav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nizom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qilingach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oylik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boshqarmalarida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 «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etadilar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qonuniyligini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oylik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muddatda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arizani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ko‘rib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chiqadi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ustavini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o‘tkazishni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rad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arizani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inobatsiz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qoldirish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qarorni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2" w:name="65590"/>
      <w:r w:rsidRPr="00CD13EE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to‘g‘risdagi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Qonunga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konfessiyaga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qarashli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faoliyatini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muvofiqlashtirish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yo‘naltirib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borish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yagona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i/>
          <w:sz w:val="28"/>
          <w:szCs w:val="28"/>
          <w:lang w:val="uz-Cyrl-UZ"/>
        </w:rPr>
        <w:t>markaziy</w:t>
      </w:r>
      <w:r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i/>
          <w:sz w:val="28"/>
          <w:szCs w:val="28"/>
          <w:lang w:val="uz-Cyrl-UZ"/>
        </w:rPr>
        <w:t>boshqaruv</w:t>
      </w:r>
      <w:r w:rsidRPr="00CD13E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i/>
          <w:sz w:val="28"/>
          <w:szCs w:val="28"/>
          <w:lang w:val="uz-Cyrl-UZ"/>
        </w:rPr>
        <w:t>organlari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tuzilishi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  <w:bookmarkEnd w:id="2"/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Markaziy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sakkizta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tuzilmasida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Qoraqalpog‘iston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ko‘rsatayotgan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konfessiyalarning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vakillari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ta’sis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yig‘ilishi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YUqorida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o‘tilganidek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Markaziy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organining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konfessiyasiga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ibodat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rusumlar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marosimlarni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dinni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targ‘ib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muvofiqlashtirish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yo‘naltirib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borishdan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Respublikamizda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munosabatlarini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muvofiqlashtirish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ijrosini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Mahkamasi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huzuridagi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qo‘mita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zimmasiga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yuklangan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Qo‘mita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qat’i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tengligini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vakolati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bookmarkStart w:id="3" w:name="296130"/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hokimiyati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yagona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siyosatni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bookmarkEnd w:id="3"/>
    </w:p>
    <w:p w:rsidR="003B0540" w:rsidRPr="00CD13EE" w:rsidRDefault="00AF69A1" w:rsidP="00E36F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konfessiya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Islom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pravoslav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katolik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Nemis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lyuteran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Arman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apostol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injil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xristianlari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Evangel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xristian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baptistlar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Novoapostol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Ettinchi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adventistlari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, «</w:t>
      </w:r>
      <w:r>
        <w:rPr>
          <w:rFonts w:ascii="Times New Roman" w:hAnsi="Times New Roman" w:cs="Times New Roman"/>
          <w:sz w:val="28"/>
          <w:szCs w:val="28"/>
          <w:lang w:val="uz-Cyrl-UZ"/>
        </w:rPr>
        <w:t>Golos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bojiy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z-Cyrl-UZ"/>
        </w:rPr>
        <w:t>Iegovo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shohidlari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Koreys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protestant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cherkovlari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YAhudiylik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Bahoiylik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Krishnani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anglash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Buddaviylik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bormoqda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birdek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imkoniyatlar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ta’minlashdagi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ahamiyatini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qator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imtiyozlar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16-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muayyan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mulkidan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foydalanishlari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ehtiyojlari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organlari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tomonidan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shartnoma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asosida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beriladigan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binolar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mol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mulkdan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foydalanishga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haqlidir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esa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hokimiyat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organlari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ruxsati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bilan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amalga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oshiriladi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SHuningdek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Madaniy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meros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ob’ektlarini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muhofaza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qilish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ulardan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foydalanish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to‘g‘risida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qonunining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hyperlink r:id="rId8" w:anchor="26027" w:history="1">
        <w:r w:rsidR="003B0540" w:rsidRPr="00CD13EE">
          <w:rPr>
            <w:rStyle w:val="clausesuff1"/>
            <w:rFonts w:ascii="Times New Roman" w:hAnsi="Times New Roman" w:cs="Times New Roman"/>
            <w:color w:val="000000"/>
            <w:sz w:val="28"/>
            <w:szCs w:val="28"/>
            <w:lang w:val="uz-Cyrl-UZ"/>
            <w:specVanish w:val="0"/>
          </w:rPr>
          <w:t>27-</w:t>
        </w:r>
        <w:r>
          <w:rPr>
            <w:rStyle w:val="clausesuff1"/>
            <w:rFonts w:ascii="Times New Roman" w:hAnsi="Times New Roman" w:cs="Times New Roman"/>
            <w:color w:val="000000"/>
            <w:sz w:val="28"/>
            <w:szCs w:val="28"/>
            <w:lang w:val="uz-Cyrl-UZ"/>
          </w:rPr>
          <w:t>moddasiga</w:t>
        </w:r>
        <w:r w:rsidR="003B0540" w:rsidRPr="00CD13EE">
          <w:rPr>
            <w:rStyle w:val="clausesuff1"/>
            <w:rFonts w:ascii="Times New Roman" w:hAnsi="Times New Roman" w:cs="Times New Roman"/>
            <w:color w:val="000000"/>
            <w:sz w:val="28"/>
            <w:szCs w:val="28"/>
            <w:lang w:val="uz-Cyrl-UZ"/>
            <w:specVanish w:val="0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muvofiq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tarixiy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madaniy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yodgorliklar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ob’ektlari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buyumlar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tekin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foydalanish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shartnomasi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shartlarida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berib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qo‘yilishi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ko‘zda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tutilgan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</w:p>
    <w:p w:rsidR="003B0540" w:rsidRPr="00CD13EE" w:rsidRDefault="003B0540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Bundan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tashqari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Vazirlar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Mahkamasining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«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sohasidagi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ma’naviy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ma’rifiy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ta’lim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ishlarini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faoliyatni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takomillashtirishda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ijtimoiy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ko‘mak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imtiyozlar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berish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to‘g‘risida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»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Qarorini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bir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so‘z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bilan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tashkilotlarga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nisbatan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belgilangan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sanatsiya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deb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atash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mumkin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CHunki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Qaror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tashkilotlarga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kommunal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xizmatlar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uchun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olinadigan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to‘lovlarni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yuridik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shaxs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sifatida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emas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balki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jismoniy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shaxslardan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olinadigan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miqdorda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to‘lash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huquqini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AF69A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berdi</w:t>
      </w:r>
      <w:r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Kommunal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xizmat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to‘lovlaridagi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farq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tufayli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yuzaga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kelgan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tushumlar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ziyoratgohlardan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tushadigan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xayriya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mablag‘larini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O‘zbekiston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musulmonlari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idorasi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tizimidagi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masjidlarni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ta’mirlash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ta’lim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muassasalarining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o‘quv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moddiy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texnik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bazasini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mustahkamlash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o‘qituvchi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mudarris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imom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xatiblarning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mehnatini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rag‘batlantirish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ishlariga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sarflash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belgilab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qo‘yildi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hukumat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darajasida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kabi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ijtimoiy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yordamlarning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berilishini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ham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davlatning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erkinligini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ta’minlash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konfessiyalarni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rivojlanishiga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qaratilgan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chora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tadbirlarining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amaliy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ifodasi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baholash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mumkin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3B0540" w:rsidRPr="00CD13EE" w:rsidRDefault="00AF69A1" w:rsidP="00E36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SHunday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qilib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O‘zbekistonda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barcha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shaxslarning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vijdon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e’tiqod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erkinligi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huquqini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ta’minlashga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xizmat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qiluvchi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tashkilotlarning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hech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to‘siqlarsiz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qonunda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belgilangan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tartib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asoslarda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faoliyat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olib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borishlari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uchun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tegishli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huquqiy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tashkiliy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shakllar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ta’minlangan</w:t>
      </w:r>
      <w:r w:rsidR="003B0540" w:rsidRPr="00CD13E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davlatimizning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dunyoviy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demokratik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rivojlanayotgani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diniy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bag‘rikenglik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tamoyillariga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sodiq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ekanini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ko‘rsatadi</w:t>
      </w:r>
      <w:r w:rsidR="003B0540" w:rsidRPr="00CD13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B0540" w:rsidRPr="00CD13EE" w:rsidRDefault="003B0540" w:rsidP="00E3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B0540" w:rsidRDefault="00AF69A1" w:rsidP="00E3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Mavzu</w:t>
      </w:r>
      <w:r w:rsidR="003B0540"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bo‘yicha</w:t>
      </w:r>
      <w:r w:rsidR="003B0540" w:rsidRPr="00CD13EE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savollar</w:t>
      </w:r>
    </w:p>
    <w:p w:rsidR="00CD13EE" w:rsidRPr="00CD13EE" w:rsidRDefault="00CD13EE" w:rsidP="00E3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z-Cyrl-UZ"/>
        </w:rPr>
      </w:pPr>
    </w:p>
    <w:p w:rsidR="003B0540" w:rsidRPr="00CD13EE" w:rsidRDefault="00AF69A1" w:rsidP="00E36F34">
      <w:pPr>
        <w:pStyle w:val="a4"/>
        <w:numPr>
          <w:ilvl w:val="0"/>
          <w:numId w:val="4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Vijdon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nima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uning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e’tiqod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erkinligidan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qanday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farqlari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mavjud</w:t>
      </w:r>
      <w:r w:rsidR="003B0540" w:rsidRPr="00CD13EE">
        <w:rPr>
          <w:b w:val="0"/>
          <w:bCs/>
          <w:szCs w:val="28"/>
          <w:lang w:val="uz-Cyrl-UZ"/>
        </w:rPr>
        <w:t>?</w:t>
      </w:r>
    </w:p>
    <w:p w:rsidR="003B0540" w:rsidRPr="00CD13EE" w:rsidRDefault="00AF69A1" w:rsidP="00E36F34">
      <w:pPr>
        <w:pStyle w:val="a4"/>
        <w:numPr>
          <w:ilvl w:val="0"/>
          <w:numId w:val="4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lastRenderedPageBreak/>
        <w:t>Diniy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tashkilot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nima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uning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boshqa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jamaot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tashkilotlaridan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qanday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farqlari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bor</w:t>
      </w:r>
      <w:r w:rsidR="003B0540" w:rsidRPr="00CD13EE">
        <w:rPr>
          <w:b w:val="0"/>
          <w:bCs/>
          <w:szCs w:val="28"/>
          <w:lang w:val="uz-Cyrl-UZ"/>
        </w:rPr>
        <w:t>?</w:t>
      </w:r>
    </w:p>
    <w:p w:rsidR="003B0540" w:rsidRPr="00CD13EE" w:rsidRDefault="00AF69A1" w:rsidP="00E36F34">
      <w:pPr>
        <w:pStyle w:val="a4"/>
        <w:numPr>
          <w:ilvl w:val="0"/>
          <w:numId w:val="4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Davlat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o‘rtasidagi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munosabatlarni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tartibga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solishning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qanday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metodlarini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bilasiz</w:t>
      </w:r>
      <w:r w:rsidR="003B0540" w:rsidRPr="00CD13EE">
        <w:rPr>
          <w:b w:val="0"/>
          <w:bCs/>
          <w:szCs w:val="28"/>
          <w:lang w:val="uz-Cyrl-UZ"/>
        </w:rPr>
        <w:t>?</w:t>
      </w:r>
    </w:p>
    <w:p w:rsidR="003B0540" w:rsidRPr="00CD13EE" w:rsidRDefault="003B0540" w:rsidP="00E36F3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</w:p>
    <w:p w:rsidR="003B0540" w:rsidRDefault="00AF69A1" w:rsidP="00E36F3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Mustaqil</w:t>
      </w:r>
      <w:r w:rsidR="003B054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ish</w:t>
      </w:r>
      <w:r w:rsidR="003B0540" w:rsidRPr="00CD13EE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topshiriqlari</w:t>
      </w:r>
    </w:p>
    <w:p w:rsidR="00CD13EE" w:rsidRPr="00CD13EE" w:rsidRDefault="00CD13EE" w:rsidP="00E36F3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  <w:lang w:val="uz-Cyrl-UZ"/>
        </w:rPr>
      </w:pP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z-Cyrl-UZ"/>
        </w:rPr>
        <w:t>O‘zbekistonda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</w:t>
      </w:r>
      <w:r>
        <w:rPr>
          <w:b w:val="0"/>
          <w:bCs/>
          <w:szCs w:val="28"/>
          <w:lang w:val="uk-UA"/>
        </w:rPr>
        <w:t>avlat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organlari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bilan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diniy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tashkilotlarning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o‘zaro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munosabatlari</w:t>
      </w:r>
      <w:r w:rsidR="003B0540" w:rsidRPr="00CD13EE">
        <w:rPr>
          <w:b w:val="0"/>
          <w:bCs/>
          <w:szCs w:val="28"/>
          <w:lang w:val="uk-UA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O‘zbekistonda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din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davlatdan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ajratilishining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o‘ziga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xos</w:t>
      </w:r>
      <w:r w:rsidR="003B0540" w:rsidRPr="00CD13EE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>jihatlari</w:t>
      </w:r>
      <w:r w:rsidR="003B0540" w:rsidRPr="00CD13EE">
        <w:rPr>
          <w:b w:val="0"/>
          <w:bCs/>
          <w:szCs w:val="28"/>
          <w:lang w:val="uk-UA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Diniy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ibodat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marosimlarni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ado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etishning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qonunchilik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asoslari</w:t>
      </w:r>
      <w:r w:rsidR="003B0540" w:rsidRPr="00CD13EE">
        <w:rPr>
          <w:b w:val="0"/>
          <w:bCs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O‘zbekiston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Respublikasi</w:t>
      </w:r>
      <w:r w:rsidR="003B0540" w:rsidRPr="00CD13EE">
        <w:rPr>
          <w:b w:val="0"/>
          <w:bCs/>
          <w:szCs w:val="28"/>
          <w:lang w:val="uz-Cyrl-UZ"/>
        </w:rPr>
        <w:t xml:space="preserve"> «</w:t>
      </w:r>
      <w:r>
        <w:rPr>
          <w:b w:val="0"/>
          <w:bCs/>
          <w:szCs w:val="28"/>
          <w:lang w:val="uz-Cyrl-UZ"/>
        </w:rPr>
        <w:t>Vijdon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diniy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tashkilotlar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to‘g‘risida</w:t>
      </w:r>
      <w:r w:rsidR="003B0540" w:rsidRPr="00CD13EE">
        <w:rPr>
          <w:b w:val="0"/>
          <w:bCs/>
          <w:szCs w:val="28"/>
          <w:lang w:val="uz-Cyrl-UZ"/>
        </w:rPr>
        <w:t>»</w:t>
      </w:r>
      <w:r>
        <w:rPr>
          <w:b w:val="0"/>
          <w:bCs/>
          <w:szCs w:val="28"/>
          <w:lang w:val="uz-Cyrl-UZ"/>
        </w:rPr>
        <w:t>gi</w:t>
      </w:r>
      <w:r w:rsidR="003B0540" w:rsidRPr="00CD13EE">
        <w:rPr>
          <w:b w:val="0"/>
          <w:bCs/>
          <w:szCs w:val="28"/>
          <w:lang w:val="uz-Cyrl-UZ"/>
        </w:rPr>
        <w:t xml:space="preserve"> (</w:t>
      </w:r>
      <w:r>
        <w:rPr>
          <w:b w:val="0"/>
          <w:bCs/>
          <w:szCs w:val="28"/>
          <w:lang w:val="uz-Cyrl-UZ"/>
        </w:rPr>
        <w:t>yangi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tahrirdagi</w:t>
      </w:r>
      <w:r w:rsidR="003B0540" w:rsidRPr="00CD13EE">
        <w:rPr>
          <w:b w:val="0"/>
          <w:bCs/>
          <w:szCs w:val="28"/>
          <w:lang w:val="uz-Cyrl-UZ"/>
        </w:rPr>
        <w:t xml:space="preserve">) </w:t>
      </w:r>
      <w:r>
        <w:rPr>
          <w:b w:val="0"/>
          <w:bCs/>
          <w:szCs w:val="28"/>
          <w:lang w:val="uz-Cyrl-UZ"/>
        </w:rPr>
        <w:t>Qonunining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o‘ziga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xos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jihatlari</w:t>
      </w:r>
      <w:r w:rsidR="003B0540" w:rsidRPr="00CD13EE">
        <w:rPr>
          <w:b w:val="0"/>
          <w:bCs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O‘zbekistonda</w:t>
      </w:r>
      <w:r w:rsidR="003B0540" w:rsidRPr="00CD13EE">
        <w:rPr>
          <w:b w:val="0"/>
          <w:bCs/>
          <w:szCs w:val="28"/>
          <w:lang w:val="uz-Cyrl-UZ"/>
        </w:rPr>
        <w:t xml:space="preserve"> «</w:t>
      </w:r>
      <w:r>
        <w:rPr>
          <w:b w:val="0"/>
          <w:bCs/>
          <w:szCs w:val="28"/>
          <w:lang w:val="uz-Cyrl-UZ"/>
        </w:rPr>
        <w:t>Vijdon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diniy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tashkilotlar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to‘g‘risida</w:t>
      </w:r>
      <w:r w:rsidR="003B0540" w:rsidRPr="00CD13EE">
        <w:rPr>
          <w:b w:val="0"/>
          <w:bCs/>
          <w:szCs w:val="28"/>
          <w:lang w:val="uz-Cyrl-UZ"/>
        </w:rPr>
        <w:t>»</w:t>
      </w:r>
      <w:r>
        <w:rPr>
          <w:b w:val="0"/>
          <w:bCs/>
          <w:szCs w:val="28"/>
          <w:lang w:val="uz-Cyrl-UZ"/>
        </w:rPr>
        <w:t>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yangi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tahrirdagi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Qonunning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qabul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qilish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zarurati</w:t>
      </w:r>
      <w:r w:rsidR="003B0540" w:rsidRPr="00CD13EE">
        <w:rPr>
          <w:b w:val="0"/>
          <w:bCs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O‘zbekiston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Respublikasi</w:t>
      </w:r>
      <w:r w:rsidR="003B0540" w:rsidRPr="00CD13EE">
        <w:rPr>
          <w:b w:val="0"/>
          <w:bCs/>
          <w:szCs w:val="28"/>
          <w:lang w:val="uz-Cyrl-UZ"/>
        </w:rPr>
        <w:t xml:space="preserve"> «</w:t>
      </w:r>
      <w:r>
        <w:rPr>
          <w:b w:val="0"/>
          <w:bCs/>
          <w:szCs w:val="28"/>
          <w:lang w:val="uz-Cyrl-UZ"/>
        </w:rPr>
        <w:t>Vijdon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diniy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tashkilotlar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to‘g‘risida</w:t>
      </w:r>
      <w:r w:rsidR="003B0540" w:rsidRPr="00CD13EE">
        <w:rPr>
          <w:b w:val="0"/>
          <w:bCs/>
          <w:szCs w:val="28"/>
          <w:lang w:val="uz-Cyrl-UZ"/>
        </w:rPr>
        <w:t>»</w:t>
      </w:r>
      <w:r>
        <w:rPr>
          <w:b w:val="0"/>
          <w:bCs/>
          <w:szCs w:val="28"/>
          <w:lang w:val="uz-Cyrl-UZ"/>
        </w:rPr>
        <w:t>gi</w:t>
      </w:r>
      <w:r w:rsidR="003B0540" w:rsidRPr="00CD13EE">
        <w:rPr>
          <w:b w:val="0"/>
          <w:bCs/>
          <w:szCs w:val="28"/>
          <w:lang w:val="uz-Cyrl-UZ"/>
        </w:rPr>
        <w:t xml:space="preserve"> (</w:t>
      </w:r>
      <w:r>
        <w:rPr>
          <w:b w:val="0"/>
          <w:bCs/>
          <w:szCs w:val="28"/>
          <w:lang w:val="uz-Cyrl-UZ"/>
        </w:rPr>
        <w:t>yangi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tahrirdagi</w:t>
      </w:r>
      <w:r w:rsidR="003B0540" w:rsidRPr="00CD13EE">
        <w:rPr>
          <w:b w:val="0"/>
          <w:bCs/>
          <w:szCs w:val="28"/>
          <w:lang w:val="uz-Cyrl-UZ"/>
        </w:rPr>
        <w:t xml:space="preserve">) </w:t>
      </w:r>
      <w:r>
        <w:rPr>
          <w:b w:val="0"/>
          <w:bCs/>
          <w:szCs w:val="28"/>
          <w:lang w:val="uz-Cyrl-UZ"/>
        </w:rPr>
        <w:t>Qonunida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davlat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munosabatlarining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tartibga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solinishi</w:t>
      </w:r>
      <w:r w:rsidR="003B0540" w:rsidRPr="00CD13EE">
        <w:rPr>
          <w:b w:val="0"/>
          <w:bCs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Vijdon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erkinligini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himoya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qiluvchi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universal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xalqaro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normalar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ularning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o‘ziga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xos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jihatlari</w:t>
      </w:r>
      <w:r w:rsidR="003B0540" w:rsidRPr="00CD13EE">
        <w:rPr>
          <w:b w:val="0"/>
          <w:bCs/>
          <w:szCs w:val="28"/>
          <w:lang w:val="uz-Cyrl-UZ"/>
        </w:rPr>
        <w:t>.</w:t>
      </w:r>
    </w:p>
    <w:p w:rsidR="003B0540" w:rsidRPr="00CD13EE" w:rsidRDefault="00AF69A1" w:rsidP="00E36F34">
      <w:pPr>
        <w:pStyle w:val="a4"/>
        <w:numPr>
          <w:ilvl w:val="0"/>
          <w:numId w:val="5"/>
        </w:numPr>
        <w:ind w:left="0" w:firstLine="709"/>
        <w:rPr>
          <w:b w:val="0"/>
          <w:bCs/>
          <w:szCs w:val="28"/>
          <w:lang w:val="uz-Cyrl-UZ"/>
        </w:rPr>
      </w:pPr>
      <w:r>
        <w:rPr>
          <w:b w:val="0"/>
          <w:bCs/>
          <w:szCs w:val="28"/>
          <w:lang w:val="uz-Cyrl-UZ"/>
        </w:rPr>
        <w:t>Vazirlar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Mahkamasi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huzuridagi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Din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ishlari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bo‘yicha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qo‘mitaning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maqsad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</w:t>
      </w:r>
      <w:r w:rsidR="003B0540" w:rsidRPr="00CD13EE">
        <w:rPr>
          <w:b w:val="0"/>
          <w:bCs/>
          <w:szCs w:val="28"/>
          <w:lang w:val="uz-Cyrl-UZ"/>
        </w:rPr>
        <w:t xml:space="preserve"> </w:t>
      </w:r>
      <w:r>
        <w:rPr>
          <w:b w:val="0"/>
          <w:bCs/>
          <w:szCs w:val="28"/>
          <w:lang w:val="uz-Cyrl-UZ"/>
        </w:rPr>
        <w:t>vazifalari</w:t>
      </w:r>
      <w:r w:rsidR="003B0540" w:rsidRPr="00CD13EE">
        <w:rPr>
          <w:b w:val="0"/>
          <w:bCs/>
          <w:szCs w:val="28"/>
          <w:lang w:val="uz-Cyrl-UZ"/>
        </w:rPr>
        <w:t>.</w:t>
      </w:r>
    </w:p>
    <w:sectPr w:rsidR="003B0540" w:rsidRPr="00CD13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09" w:rsidRDefault="001B2109" w:rsidP="00E36F34">
      <w:pPr>
        <w:spacing w:after="0" w:line="240" w:lineRule="auto"/>
      </w:pPr>
      <w:r>
        <w:separator/>
      </w:r>
    </w:p>
  </w:endnote>
  <w:endnote w:type="continuationSeparator" w:id="0">
    <w:p w:rsidR="001B2109" w:rsidRDefault="001B2109" w:rsidP="00E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DA Times UZ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99766"/>
      <w:docPartObj>
        <w:docPartGallery w:val="Page Numbers (Bottom of Page)"/>
        <w:docPartUnique/>
      </w:docPartObj>
    </w:sdtPr>
    <w:sdtEndPr/>
    <w:sdtContent>
      <w:p w:rsidR="00E36F34" w:rsidRDefault="00E36F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4">
          <w:rPr>
            <w:noProof/>
          </w:rPr>
          <w:t>13</w:t>
        </w:r>
        <w:r>
          <w:fldChar w:fldCharType="end"/>
        </w:r>
      </w:p>
    </w:sdtContent>
  </w:sdt>
  <w:p w:rsidR="00E36F34" w:rsidRDefault="00E36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09" w:rsidRDefault="001B2109" w:rsidP="00E36F34">
      <w:pPr>
        <w:spacing w:after="0" w:line="240" w:lineRule="auto"/>
      </w:pPr>
      <w:r>
        <w:separator/>
      </w:r>
    </w:p>
  </w:footnote>
  <w:footnote w:type="continuationSeparator" w:id="0">
    <w:p w:rsidR="001B2109" w:rsidRDefault="001B2109" w:rsidP="00E3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EE"/>
    <w:multiLevelType w:val="hybridMultilevel"/>
    <w:tmpl w:val="B77A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155"/>
    <w:multiLevelType w:val="hybridMultilevel"/>
    <w:tmpl w:val="FC20F976"/>
    <w:lvl w:ilvl="0" w:tplc="5F3AAB7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352C7"/>
    <w:multiLevelType w:val="hybridMultilevel"/>
    <w:tmpl w:val="CEC4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72F5"/>
    <w:multiLevelType w:val="hybridMultilevel"/>
    <w:tmpl w:val="ECD64FE6"/>
    <w:lvl w:ilvl="0" w:tplc="56C4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56CA2"/>
    <w:multiLevelType w:val="hybridMultilevel"/>
    <w:tmpl w:val="0866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511AF"/>
    <w:multiLevelType w:val="hybridMultilevel"/>
    <w:tmpl w:val="4DCAB090"/>
    <w:lvl w:ilvl="0" w:tplc="5F3AAB7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C9058E"/>
    <w:multiLevelType w:val="hybridMultilevel"/>
    <w:tmpl w:val="98B28F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1C1A74"/>
    <w:multiLevelType w:val="hybridMultilevel"/>
    <w:tmpl w:val="CBE6E0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36651"/>
    <w:multiLevelType w:val="hybridMultilevel"/>
    <w:tmpl w:val="0866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C12BC"/>
    <w:multiLevelType w:val="hybridMultilevel"/>
    <w:tmpl w:val="DE8C43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667681"/>
    <w:multiLevelType w:val="hybridMultilevel"/>
    <w:tmpl w:val="E3524478"/>
    <w:lvl w:ilvl="0" w:tplc="5F3AAB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017A3"/>
    <w:multiLevelType w:val="hybridMultilevel"/>
    <w:tmpl w:val="D9BCACAE"/>
    <w:lvl w:ilvl="0" w:tplc="5F3AAB7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2219E7"/>
    <w:multiLevelType w:val="hybridMultilevel"/>
    <w:tmpl w:val="D1FAF2F8"/>
    <w:lvl w:ilvl="0" w:tplc="96BE6FF6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1"/>
    <w:rsid w:val="001B2109"/>
    <w:rsid w:val="003B0540"/>
    <w:rsid w:val="004D2800"/>
    <w:rsid w:val="006F6F25"/>
    <w:rsid w:val="00793ECE"/>
    <w:rsid w:val="00940392"/>
    <w:rsid w:val="009D572A"/>
    <w:rsid w:val="00A340D1"/>
    <w:rsid w:val="00AF69A1"/>
    <w:rsid w:val="00CD13EE"/>
    <w:rsid w:val="00E36F34"/>
    <w:rsid w:val="00E61A34"/>
    <w:rsid w:val="00F25FB8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40"/>
    <w:pPr>
      <w:ind w:left="720"/>
      <w:contextualSpacing/>
    </w:pPr>
  </w:style>
  <w:style w:type="paragraph" w:styleId="a4">
    <w:name w:val="Body Text"/>
    <w:basedOn w:val="a"/>
    <w:link w:val="a5"/>
    <w:rsid w:val="003B054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B05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B0540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0540"/>
    <w:rPr>
      <w:rFonts w:ascii="Calibri" w:eastAsia="Calibri" w:hAnsi="Calibri" w:cs="Times New Roman"/>
      <w:lang w:val="x-none"/>
    </w:rPr>
  </w:style>
  <w:style w:type="character" w:customStyle="1" w:styleId="clausesuff1">
    <w:name w:val="clausesuff1"/>
    <w:rsid w:val="003B0540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E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34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E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34"/>
    <w:rPr>
      <w:rFonts w:ascii="Calibri" w:eastAsia="Calibri" w:hAnsi="Calibri" w:cs="Arial"/>
    </w:rPr>
  </w:style>
  <w:style w:type="paragraph" w:styleId="3">
    <w:name w:val="Body Text 3"/>
    <w:basedOn w:val="a"/>
    <w:link w:val="30"/>
    <w:uiPriority w:val="99"/>
    <w:semiHidden/>
    <w:unhideWhenUsed/>
    <w:rsid w:val="004D28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800"/>
    <w:rPr>
      <w:rFonts w:ascii="Calibri" w:eastAsia="Calibri" w:hAnsi="Calibri" w:cs="Arial"/>
      <w:sz w:val="16"/>
      <w:szCs w:val="16"/>
    </w:rPr>
  </w:style>
  <w:style w:type="character" w:customStyle="1" w:styleId="FontStyle21">
    <w:name w:val="Font Style21"/>
    <w:uiPriority w:val="99"/>
    <w:rsid w:val="004D2800"/>
    <w:rPr>
      <w:rFonts w:ascii="Times New Roman" w:hAnsi="Times New Roman" w:cs="Times New Roman"/>
      <w:i/>
      <w:iCs/>
      <w:sz w:val="18"/>
      <w:szCs w:val="18"/>
    </w:rPr>
  </w:style>
  <w:style w:type="paragraph" w:styleId="aa">
    <w:name w:val="No Spacing"/>
    <w:link w:val="ab"/>
    <w:uiPriority w:val="1"/>
    <w:qFormat/>
    <w:rsid w:val="004D2800"/>
    <w:pPr>
      <w:autoSpaceDN w:val="0"/>
      <w:spacing w:after="0" w:line="240" w:lineRule="auto"/>
    </w:pPr>
    <w:rPr>
      <w:rFonts w:ascii="PANDA Times UZ" w:eastAsia="Times New Roman" w:hAnsi="PANDA Times UZ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4D2800"/>
    <w:rPr>
      <w:rFonts w:ascii="PANDA Times UZ" w:eastAsia="Times New Roman" w:hAnsi="PANDA Times UZ" w:cs="Times New Roman"/>
      <w:sz w:val="28"/>
      <w:szCs w:val="28"/>
      <w:lang w:eastAsia="ru-RU"/>
    </w:rPr>
  </w:style>
  <w:style w:type="character" w:customStyle="1" w:styleId="FontStyle27">
    <w:name w:val="Font Style27"/>
    <w:uiPriority w:val="99"/>
    <w:rsid w:val="004D2800"/>
    <w:rPr>
      <w:rFonts w:ascii="Candara" w:hAnsi="Candara" w:cs="Candara"/>
      <w:b/>
      <w:bCs/>
      <w:sz w:val="18"/>
      <w:szCs w:val="18"/>
    </w:rPr>
  </w:style>
  <w:style w:type="character" w:customStyle="1" w:styleId="FontStyle28">
    <w:name w:val="Font Style28"/>
    <w:uiPriority w:val="99"/>
    <w:rsid w:val="004D2800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40"/>
    <w:pPr>
      <w:ind w:left="720"/>
      <w:contextualSpacing/>
    </w:pPr>
  </w:style>
  <w:style w:type="paragraph" w:styleId="a4">
    <w:name w:val="Body Text"/>
    <w:basedOn w:val="a"/>
    <w:link w:val="a5"/>
    <w:rsid w:val="003B054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B05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B0540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0540"/>
    <w:rPr>
      <w:rFonts w:ascii="Calibri" w:eastAsia="Calibri" w:hAnsi="Calibri" w:cs="Times New Roman"/>
      <w:lang w:val="x-none"/>
    </w:rPr>
  </w:style>
  <w:style w:type="character" w:customStyle="1" w:styleId="clausesuff1">
    <w:name w:val="clausesuff1"/>
    <w:rsid w:val="003B0540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E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34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E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34"/>
    <w:rPr>
      <w:rFonts w:ascii="Calibri" w:eastAsia="Calibri" w:hAnsi="Calibri" w:cs="Arial"/>
    </w:rPr>
  </w:style>
  <w:style w:type="paragraph" w:styleId="3">
    <w:name w:val="Body Text 3"/>
    <w:basedOn w:val="a"/>
    <w:link w:val="30"/>
    <w:uiPriority w:val="99"/>
    <w:semiHidden/>
    <w:unhideWhenUsed/>
    <w:rsid w:val="004D28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800"/>
    <w:rPr>
      <w:rFonts w:ascii="Calibri" w:eastAsia="Calibri" w:hAnsi="Calibri" w:cs="Arial"/>
      <w:sz w:val="16"/>
      <w:szCs w:val="16"/>
    </w:rPr>
  </w:style>
  <w:style w:type="character" w:customStyle="1" w:styleId="FontStyle21">
    <w:name w:val="Font Style21"/>
    <w:uiPriority w:val="99"/>
    <w:rsid w:val="004D2800"/>
    <w:rPr>
      <w:rFonts w:ascii="Times New Roman" w:hAnsi="Times New Roman" w:cs="Times New Roman"/>
      <w:i/>
      <w:iCs/>
      <w:sz w:val="18"/>
      <w:szCs w:val="18"/>
    </w:rPr>
  </w:style>
  <w:style w:type="paragraph" w:styleId="aa">
    <w:name w:val="No Spacing"/>
    <w:link w:val="ab"/>
    <w:uiPriority w:val="1"/>
    <w:qFormat/>
    <w:rsid w:val="004D2800"/>
    <w:pPr>
      <w:autoSpaceDN w:val="0"/>
      <w:spacing w:after="0" w:line="240" w:lineRule="auto"/>
    </w:pPr>
    <w:rPr>
      <w:rFonts w:ascii="PANDA Times UZ" w:eastAsia="Times New Roman" w:hAnsi="PANDA Times UZ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4D2800"/>
    <w:rPr>
      <w:rFonts w:ascii="PANDA Times UZ" w:eastAsia="Times New Roman" w:hAnsi="PANDA Times UZ" w:cs="Times New Roman"/>
      <w:sz w:val="28"/>
      <w:szCs w:val="28"/>
      <w:lang w:eastAsia="ru-RU"/>
    </w:rPr>
  </w:style>
  <w:style w:type="character" w:customStyle="1" w:styleId="FontStyle27">
    <w:name w:val="Font Style27"/>
    <w:uiPriority w:val="99"/>
    <w:rsid w:val="004D2800"/>
    <w:rPr>
      <w:rFonts w:ascii="Candara" w:hAnsi="Candara" w:cs="Candara"/>
      <w:b/>
      <w:bCs/>
      <w:sz w:val="18"/>
      <w:szCs w:val="18"/>
    </w:rPr>
  </w:style>
  <w:style w:type="character" w:customStyle="1" w:styleId="FontStyle28">
    <w:name w:val="Font Style28"/>
    <w:uiPriority w:val="99"/>
    <w:rsid w:val="004D2800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home/doc/254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2018-10-28T20:02:00Z</dcterms:created>
  <dcterms:modified xsi:type="dcterms:W3CDTF">2018-10-28T20:05:00Z</dcterms:modified>
</cp:coreProperties>
</file>